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67A9289E" w:rsidR="00E0086F" w:rsidRDefault="00E0086F" w:rsidP="00E0086F">
      <w:pPr>
        <w:pStyle w:val="Nzev"/>
        <w:rPr>
          <w:rFonts w:ascii="Arial" w:hAnsi="Arial"/>
          <w:szCs w:val="22"/>
        </w:rPr>
      </w:pPr>
      <w:r w:rsidRPr="00ED6435">
        <w:rPr>
          <w:rFonts w:ascii="Arial" w:hAnsi="Arial"/>
          <w:szCs w:val="22"/>
        </w:rPr>
        <w:t>SMLOUVA O DÍLO</w:t>
      </w:r>
    </w:p>
    <w:p w14:paraId="5F8830F4" w14:textId="0DC8D459" w:rsidR="002D13A1" w:rsidRPr="002D13A1" w:rsidRDefault="002D13A1" w:rsidP="002D13A1">
      <w:pPr>
        <w:spacing w:before="240" w:after="60"/>
        <w:jc w:val="center"/>
        <w:outlineLvl w:val="0"/>
        <w:rPr>
          <w:rFonts w:ascii="Arial" w:hAnsi="Arial" w:cs="Arial"/>
          <w:caps/>
          <w:kern w:val="28"/>
        </w:rPr>
      </w:pPr>
      <w:r w:rsidRPr="002D13A1">
        <w:rPr>
          <w:rFonts w:ascii="Arial" w:hAnsi="Arial" w:cs="Arial"/>
          <w:b/>
          <w:bCs/>
          <w:kern w:val="28"/>
        </w:rPr>
        <w:t xml:space="preserve">Komplexní pozemkové úpravy </w:t>
      </w:r>
      <w:bookmarkStart w:id="0" w:name="_Hlk69133833"/>
      <w:bookmarkStart w:id="1" w:name="_Hlk69131649"/>
      <w:bookmarkStart w:id="2" w:name="_Hlk75350606"/>
      <w:r w:rsidRPr="002D13A1">
        <w:rPr>
          <w:rFonts w:ascii="Arial" w:hAnsi="Arial" w:cs="Arial"/>
          <w:b/>
          <w:bCs/>
          <w:kern w:val="28"/>
        </w:rPr>
        <w:t>v </w:t>
      </w:r>
      <w:proofErr w:type="spellStart"/>
      <w:r w:rsidRPr="002D13A1">
        <w:rPr>
          <w:rFonts w:ascii="Arial" w:hAnsi="Arial" w:cs="Arial"/>
          <w:b/>
          <w:bCs/>
          <w:kern w:val="28"/>
        </w:rPr>
        <w:t>k.ú</w:t>
      </w:r>
      <w:proofErr w:type="spellEnd"/>
      <w:r w:rsidRPr="002D13A1">
        <w:rPr>
          <w:rFonts w:ascii="Arial" w:hAnsi="Arial" w:cs="Arial"/>
          <w:b/>
          <w:bCs/>
          <w:kern w:val="28"/>
        </w:rPr>
        <w:t xml:space="preserve">. </w:t>
      </w:r>
      <w:bookmarkEnd w:id="0"/>
      <w:bookmarkEnd w:id="1"/>
      <w:r w:rsidR="001B6EBF">
        <w:rPr>
          <w:rFonts w:ascii="Arial" w:hAnsi="Arial" w:cs="Arial"/>
          <w:b/>
          <w:bCs/>
          <w:kern w:val="28"/>
        </w:rPr>
        <w:t>Jasenice u Valašského Meziříčí</w:t>
      </w:r>
    </w:p>
    <w:bookmarkEnd w:id="2"/>
    <w:p w14:paraId="179C082C" w14:textId="77777777" w:rsidR="001B6EBF" w:rsidRDefault="00E0086F" w:rsidP="00E0086F">
      <w:pPr>
        <w:pStyle w:val="Normln-odrky"/>
        <w:numPr>
          <w:ilvl w:val="0"/>
          <w:numId w:val="0"/>
        </w:numPr>
        <w:spacing w:before="240" w:line="240" w:lineRule="auto"/>
        <w:jc w:val="center"/>
        <w:rPr>
          <w:rFonts w:cs="Arial"/>
          <w:sz w:val="22"/>
        </w:rPr>
      </w:pPr>
      <w:r w:rsidRPr="00ED6435">
        <w:rPr>
          <w:rFonts w:cs="Arial"/>
          <w:sz w:val="22"/>
        </w:rPr>
        <w:t xml:space="preserve">uzavřená podle § 2586 a násl. zákona č. 89/2012 Sb., občanský zákoník, </w:t>
      </w:r>
    </w:p>
    <w:p w14:paraId="2B871BEE" w14:textId="6C8724CF"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6BD87CB1" w14:textId="77777777" w:rsidR="00345994" w:rsidRPr="00ED6435" w:rsidRDefault="00345994" w:rsidP="00345994">
      <w:pPr>
        <w:pStyle w:val="Level3"/>
        <w:numPr>
          <w:ilvl w:val="0"/>
          <w:numId w:val="15"/>
        </w:numPr>
        <w:spacing w:before="120" w:after="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6B348E01" w14:textId="77777777" w:rsidR="00345994" w:rsidRDefault="00345994" w:rsidP="00345994">
      <w:pPr>
        <w:spacing w:after="120"/>
        <w:ind w:left="567"/>
        <w:contextualSpacing/>
        <w:jc w:val="both"/>
        <w:rPr>
          <w:rFonts w:ascii="Arial" w:hAnsi="Arial" w:cs="Arial"/>
        </w:rPr>
      </w:pPr>
      <w:r>
        <w:rPr>
          <w:rFonts w:ascii="Arial" w:hAnsi="Arial" w:cs="Arial"/>
        </w:rPr>
        <w:t>S</w:t>
      </w:r>
      <w:r w:rsidRPr="00ED6435">
        <w:rPr>
          <w:rFonts w:ascii="Arial" w:hAnsi="Arial" w:cs="Arial"/>
        </w:rPr>
        <w:t>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5A38B85E" w14:textId="77777777" w:rsidR="00345994" w:rsidRPr="00ED6435" w:rsidRDefault="00345994" w:rsidP="00345994">
      <w:pPr>
        <w:spacing w:after="120"/>
        <w:ind w:left="567"/>
        <w:contextualSpacing/>
        <w:jc w:val="both"/>
        <w:rPr>
          <w:rFonts w:ascii="Arial" w:hAnsi="Arial" w:cs="Arial"/>
        </w:rPr>
      </w:pPr>
      <w:r w:rsidRPr="008F02E2">
        <w:rPr>
          <w:rFonts w:ascii="Arial" w:hAnsi="Arial" w:cs="Arial"/>
          <w:b/>
          <w:bCs/>
        </w:rPr>
        <w:t>Krajský pozemkový úřad pro Zlínský kraj</w:t>
      </w:r>
      <w:r w:rsidRPr="00ED6435">
        <w:rPr>
          <w:rFonts w:ascii="Arial" w:hAnsi="Arial" w:cs="Arial"/>
          <w:snapToGrid w:val="0"/>
        </w:rPr>
        <w:t xml:space="preserve">, na adrese </w:t>
      </w:r>
      <w:proofErr w:type="spellStart"/>
      <w:r>
        <w:rPr>
          <w:rFonts w:ascii="Arial" w:hAnsi="Arial" w:cs="Arial"/>
          <w:snapToGrid w:val="0"/>
        </w:rPr>
        <w:t>Zarámí</w:t>
      </w:r>
      <w:proofErr w:type="spellEnd"/>
      <w:r>
        <w:rPr>
          <w:rFonts w:ascii="Arial" w:hAnsi="Arial" w:cs="Arial"/>
          <w:snapToGrid w:val="0"/>
        </w:rPr>
        <w:t xml:space="preserve"> 88, 760 41 Zlín</w:t>
      </w:r>
    </w:p>
    <w:p w14:paraId="4D05DFAA" w14:textId="77777777" w:rsidR="00345994" w:rsidRPr="00ED6435" w:rsidRDefault="00345994" w:rsidP="00345994">
      <w:pPr>
        <w:spacing w:after="120"/>
        <w:ind w:left="567"/>
        <w:contextualSpacing/>
        <w:jc w:val="both"/>
        <w:rPr>
          <w:rFonts w:ascii="Arial" w:hAnsi="Arial" w:cs="Arial"/>
        </w:rPr>
      </w:pPr>
      <w:r w:rsidRPr="00ED6435">
        <w:rPr>
          <w:rFonts w:ascii="Arial" w:hAnsi="Arial" w:cs="Arial"/>
        </w:rPr>
        <w:t xml:space="preserve">Zastoupená: </w:t>
      </w:r>
      <w:bookmarkStart w:id="3" w:name="_Hlk69131393"/>
      <w:r>
        <w:rPr>
          <w:rFonts w:ascii="Arial" w:hAnsi="Arial" w:cs="Arial"/>
        </w:rPr>
        <w:t xml:space="preserve">Ing. Mladou Augustinovou, ředitelkou KPÚ </w:t>
      </w:r>
      <w:bookmarkEnd w:id="3"/>
    </w:p>
    <w:p w14:paraId="75625DB6" w14:textId="77777777" w:rsidR="00345994" w:rsidRPr="00ED6435" w:rsidRDefault="00345994" w:rsidP="00345994">
      <w:pPr>
        <w:spacing w:after="120"/>
        <w:ind w:left="4536" w:hanging="3969"/>
        <w:contextualSpacing/>
        <w:jc w:val="both"/>
        <w:rPr>
          <w:rFonts w:ascii="Arial" w:hAnsi="Arial" w:cs="Arial"/>
        </w:rPr>
      </w:pPr>
      <w:r w:rsidRPr="00ED6435">
        <w:rPr>
          <w:rFonts w:ascii="Arial" w:hAnsi="Arial" w:cs="Arial"/>
        </w:rPr>
        <w:t xml:space="preserve">Ve smluvních záležitostech zastoupená: </w:t>
      </w:r>
      <w:r w:rsidRPr="002A2F68">
        <w:rPr>
          <w:rFonts w:ascii="Arial" w:hAnsi="Arial" w:cs="Arial"/>
        </w:rPr>
        <w:t xml:space="preserve">Ing. Mladou Augustinovou, ředitelkou KPÚ </w:t>
      </w:r>
    </w:p>
    <w:p w14:paraId="59B210F7" w14:textId="3001AA88" w:rsidR="00345994" w:rsidRDefault="00345994" w:rsidP="00345994">
      <w:pPr>
        <w:autoSpaceDE w:val="0"/>
        <w:autoSpaceDN w:val="0"/>
        <w:adjustRightInd w:val="0"/>
        <w:spacing w:after="0" w:line="240" w:lineRule="auto"/>
        <w:ind w:left="2892" w:right="-312" w:hanging="2325"/>
        <w:contextualSpacing/>
        <w:rPr>
          <w:rFonts w:ascii="Arial" w:eastAsia="Calibri" w:hAnsi="Arial" w:cs="Arial"/>
          <w:lang w:eastAsia="cs-CZ"/>
        </w:rPr>
      </w:pPr>
      <w:r w:rsidRPr="00ED6435">
        <w:rPr>
          <w:rFonts w:ascii="Arial" w:hAnsi="Arial" w:cs="Arial"/>
        </w:rPr>
        <w:t>V technických záležitostech zastoupená:</w:t>
      </w:r>
      <w:r w:rsidRPr="00ED6435">
        <w:rPr>
          <w:rFonts w:ascii="Arial" w:hAnsi="Arial" w:cs="Arial"/>
          <w:snapToGrid w:val="0"/>
        </w:rPr>
        <w:t xml:space="preserve"> </w:t>
      </w:r>
      <w:r>
        <w:rPr>
          <w:rFonts w:ascii="ArialMT" w:eastAsia="Calibri" w:hAnsi="ArialMT" w:cs="ArialMT"/>
          <w:lang w:eastAsia="cs-CZ"/>
        </w:rPr>
        <w:t xml:space="preserve">Ing. </w:t>
      </w:r>
      <w:r w:rsidR="001A08F3">
        <w:rPr>
          <w:rFonts w:ascii="ArialMT" w:eastAsia="Calibri" w:hAnsi="ArialMT" w:cs="ArialMT"/>
          <w:lang w:eastAsia="cs-CZ"/>
        </w:rPr>
        <w:t>Renatou Němejcovou</w:t>
      </w:r>
      <w:r>
        <w:rPr>
          <w:rFonts w:ascii="Arial" w:eastAsia="Calibri" w:hAnsi="Arial" w:cs="Arial"/>
          <w:lang w:eastAsia="cs-CZ"/>
        </w:rPr>
        <w:t xml:space="preserve">, </w:t>
      </w:r>
    </w:p>
    <w:p w14:paraId="1F41CBB1" w14:textId="400D0790" w:rsidR="00345994" w:rsidRDefault="00345994" w:rsidP="00345994">
      <w:pPr>
        <w:autoSpaceDE w:val="0"/>
        <w:autoSpaceDN w:val="0"/>
        <w:adjustRightInd w:val="0"/>
        <w:spacing w:after="0" w:line="240" w:lineRule="auto"/>
        <w:ind w:left="2892" w:right="-312" w:hanging="2325"/>
        <w:contextualSpacing/>
        <w:rPr>
          <w:rFonts w:ascii="ArialMT" w:eastAsia="Calibri" w:hAnsi="ArialMT" w:cs="ArialMT"/>
          <w:lang w:eastAsia="cs-CZ"/>
        </w:rPr>
      </w:pPr>
      <w:r>
        <w:rPr>
          <w:rFonts w:ascii="ArialMT" w:eastAsia="Calibri" w:hAnsi="ArialMT" w:cs="ArialMT"/>
          <w:lang w:eastAsia="cs-CZ"/>
        </w:rPr>
        <w:t xml:space="preserve">vedoucí Pobočky </w:t>
      </w:r>
      <w:r w:rsidR="001A08F3">
        <w:rPr>
          <w:rFonts w:ascii="ArialMT" w:eastAsia="Calibri" w:hAnsi="ArialMT" w:cs="ArialMT"/>
          <w:lang w:eastAsia="cs-CZ"/>
        </w:rPr>
        <w:t>Vsetín</w:t>
      </w:r>
      <w:r w:rsidR="002F4CF9">
        <w:rPr>
          <w:rFonts w:ascii="ArialMT" w:eastAsia="Calibri" w:hAnsi="ArialMT" w:cs="ArialMT"/>
          <w:lang w:eastAsia="cs-CZ"/>
        </w:rPr>
        <w:t xml:space="preserve"> a</w:t>
      </w:r>
    </w:p>
    <w:p w14:paraId="3A3017B9" w14:textId="5A35D08E" w:rsidR="00345994" w:rsidRPr="00BB7311" w:rsidRDefault="002F4CF9" w:rsidP="00345994">
      <w:pPr>
        <w:autoSpaceDE w:val="0"/>
        <w:autoSpaceDN w:val="0"/>
        <w:adjustRightInd w:val="0"/>
        <w:spacing w:after="120"/>
        <w:ind w:left="2892" w:right="-312" w:hanging="2325"/>
        <w:rPr>
          <w:rFonts w:ascii="Arial" w:hAnsi="Arial" w:cs="Arial"/>
          <w:snapToGrid w:val="0"/>
        </w:rPr>
      </w:pPr>
      <w:r>
        <w:rPr>
          <w:rFonts w:ascii="Arial" w:hAnsi="Arial" w:cs="Arial"/>
          <w:snapToGrid w:val="0"/>
        </w:rPr>
        <w:t>Ing. Kateřinou Markovou</w:t>
      </w:r>
      <w:r w:rsidR="00345994">
        <w:rPr>
          <w:rFonts w:ascii="Arial" w:hAnsi="Arial" w:cs="Arial"/>
          <w:snapToGrid w:val="0"/>
        </w:rPr>
        <w:t xml:space="preserve">, </w:t>
      </w:r>
      <w:r>
        <w:rPr>
          <w:rFonts w:ascii="Arial" w:hAnsi="Arial" w:cs="Arial"/>
          <w:snapToGrid w:val="0"/>
        </w:rPr>
        <w:t xml:space="preserve">odborným </w:t>
      </w:r>
      <w:r w:rsidR="00345994">
        <w:rPr>
          <w:rFonts w:ascii="Arial" w:hAnsi="Arial" w:cs="Arial"/>
          <w:snapToGrid w:val="0"/>
        </w:rPr>
        <w:t xml:space="preserve">radou pobočky </w:t>
      </w:r>
      <w:r w:rsidR="001A08F3">
        <w:rPr>
          <w:rFonts w:ascii="Arial" w:hAnsi="Arial" w:cs="Arial"/>
          <w:snapToGrid w:val="0"/>
        </w:rPr>
        <w:t>Vsetín</w:t>
      </w:r>
    </w:p>
    <w:p w14:paraId="620AE68D" w14:textId="77777777" w:rsidR="00345994" w:rsidRPr="00ED6435" w:rsidRDefault="00345994" w:rsidP="00345994">
      <w:pPr>
        <w:tabs>
          <w:tab w:val="left" w:pos="4536"/>
        </w:tabs>
        <w:spacing w:after="120"/>
        <w:ind w:left="567"/>
        <w:contextualSpacing/>
        <w:jc w:val="both"/>
        <w:rPr>
          <w:rFonts w:ascii="Arial" w:hAnsi="Arial" w:cs="Arial"/>
        </w:rPr>
      </w:pPr>
      <w:r w:rsidRPr="00ED6435">
        <w:rPr>
          <w:rFonts w:ascii="Arial" w:hAnsi="Arial" w:cs="Arial"/>
          <w:b/>
          <w:bCs/>
        </w:rPr>
        <w:t>Kontaktní údaje:</w:t>
      </w:r>
      <w:r>
        <w:rPr>
          <w:rFonts w:ascii="Arial" w:hAnsi="Arial" w:cs="Arial"/>
          <w:b/>
          <w:bCs/>
        </w:rPr>
        <w:tab/>
      </w:r>
    </w:p>
    <w:p w14:paraId="573BA0F6" w14:textId="10D41CAF" w:rsidR="00345994" w:rsidRPr="00ED6435" w:rsidRDefault="00345994" w:rsidP="00345994">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eastAsia="Calibri" w:hAnsi="Arial" w:cs="Arial"/>
          <w:lang w:eastAsia="cs-CZ"/>
        </w:rPr>
        <w:t>+420</w:t>
      </w:r>
      <w:r w:rsidR="002F4CF9">
        <w:rPr>
          <w:rFonts w:ascii="Arial" w:eastAsia="Calibri" w:hAnsi="Arial" w:cs="Arial"/>
          <w:lang w:eastAsia="cs-CZ"/>
        </w:rPr>
        <w:t> 702 153 018</w:t>
      </w:r>
      <w:r>
        <w:rPr>
          <w:rFonts w:ascii="Arial" w:eastAsia="Calibri" w:hAnsi="Arial" w:cs="Arial"/>
          <w:lang w:eastAsia="cs-CZ"/>
        </w:rPr>
        <w:t>, +420</w:t>
      </w:r>
      <w:r w:rsidR="002F4CF9">
        <w:rPr>
          <w:rFonts w:ascii="Arial" w:eastAsia="Calibri" w:hAnsi="Arial" w:cs="Arial"/>
          <w:lang w:eastAsia="cs-CZ"/>
        </w:rPr>
        <w:t> 725 901 406</w:t>
      </w:r>
    </w:p>
    <w:p w14:paraId="259AF33B" w14:textId="4681996C" w:rsidR="00345994" w:rsidRPr="00B553BA" w:rsidRDefault="00345994" w:rsidP="00B553BA">
      <w:pPr>
        <w:tabs>
          <w:tab w:val="left" w:pos="4536"/>
        </w:tabs>
        <w:spacing w:after="120"/>
        <w:ind w:left="567"/>
        <w:contextualSpacing/>
        <w:jc w:val="both"/>
        <w:rPr>
          <w:rFonts w:ascii="Arial" w:eastAsia="Calibri" w:hAnsi="Arial" w:cs="Arial"/>
          <w:color w:val="0000FF"/>
          <w:u w:val="single"/>
          <w:lang w:eastAsia="cs-CZ"/>
        </w:rPr>
      </w:pPr>
      <w:r w:rsidRPr="00ED6435">
        <w:rPr>
          <w:rFonts w:ascii="Arial" w:hAnsi="Arial" w:cs="Arial"/>
        </w:rPr>
        <w:t>E-mail:</w:t>
      </w:r>
      <w:r w:rsidRPr="00ED6435">
        <w:rPr>
          <w:rFonts w:ascii="Arial" w:hAnsi="Arial" w:cs="Arial"/>
          <w:snapToGrid w:val="0"/>
        </w:rPr>
        <w:t xml:space="preserve"> </w:t>
      </w:r>
      <w:hyperlink r:id="rId8" w:history="1">
        <w:r w:rsidR="007A4965" w:rsidRPr="00266C4B">
          <w:rPr>
            <w:rStyle w:val="Hypertextovodkaz"/>
            <w:rFonts w:ascii="Arial" w:eastAsia="Calibri" w:hAnsi="Arial" w:cs="Arial"/>
            <w:lang w:eastAsia="cs-CZ"/>
          </w:rPr>
          <w:t>r.</w:t>
        </w:r>
        <w:r w:rsidR="007A4965" w:rsidRPr="00266C4B">
          <w:rPr>
            <w:rStyle w:val="Hypertextovodkaz"/>
            <w:rFonts w:ascii="Arial" w:hAnsi="Arial" w:cs="Arial"/>
          </w:rPr>
          <w:t>nemejcova</w:t>
        </w:r>
        <w:r w:rsidR="007A4965" w:rsidRPr="00266C4B">
          <w:rPr>
            <w:rStyle w:val="Hypertextovodkaz"/>
            <w:rFonts w:ascii="Arial" w:eastAsia="Calibri" w:hAnsi="Arial" w:cs="Arial"/>
            <w:lang w:eastAsia="cs-CZ"/>
          </w:rPr>
          <w:t>@spucr.cz</w:t>
        </w:r>
      </w:hyperlink>
      <w:r>
        <w:rPr>
          <w:rFonts w:ascii="Arial" w:eastAsia="Calibri" w:hAnsi="Arial" w:cs="Arial"/>
          <w:lang w:eastAsia="cs-CZ"/>
        </w:rPr>
        <w:t xml:space="preserve">, </w:t>
      </w:r>
      <w:r w:rsidR="002F4CF9">
        <w:rPr>
          <w:rFonts w:ascii="Arial" w:eastAsia="Calibri" w:hAnsi="Arial" w:cs="Arial"/>
          <w:lang w:eastAsia="cs-CZ"/>
        </w:rPr>
        <w:t>k.markova</w:t>
      </w:r>
      <w:r>
        <w:rPr>
          <w:rFonts w:ascii="Arial" w:eastAsia="Calibri" w:hAnsi="Arial" w:cs="Arial"/>
          <w:lang w:eastAsia="cs-CZ"/>
        </w:rPr>
        <w:t>@spucr.cz</w:t>
      </w:r>
    </w:p>
    <w:p w14:paraId="4471ED8F" w14:textId="77777777" w:rsidR="00345994" w:rsidRPr="00ED6435" w:rsidRDefault="00345994" w:rsidP="00345994">
      <w:pPr>
        <w:spacing w:after="120"/>
        <w:ind w:left="567" w:right="1418"/>
        <w:jc w:val="both"/>
        <w:rPr>
          <w:rFonts w:ascii="Arial" w:hAnsi="Arial" w:cs="Arial"/>
          <w:b/>
          <w:i/>
        </w:rPr>
      </w:pPr>
      <w:r w:rsidRPr="00ED6435">
        <w:rPr>
          <w:rFonts w:ascii="Arial" w:hAnsi="Arial" w:cs="Arial"/>
        </w:rPr>
        <w:t>ID datové schránky: z49per3</w:t>
      </w:r>
      <w:r>
        <w:rPr>
          <w:rFonts w:ascii="Arial" w:hAnsi="Arial" w:cs="Arial"/>
        </w:rPr>
        <w:tab/>
      </w:r>
      <w:r>
        <w:rPr>
          <w:rFonts w:ascii="Arial" w:hAnsi="Arial" w:cs="Arial"/>
        </w:rPr>
        <w:tab/>
        <w:t xml:space="preserve">     </w:t>
      </w:r>
    </w:p>
    <w:p w14:paraId="61B35998" w14:textId="77777777" w:rsidR="00345994" w:rsidRPr="00ED6435" w:rsidRDefault="00345994" w:rsidP="00345994">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w:t>
      </w:r>
      <w:r>
        <w:rPr>
          <w:rFonts w:ascii="Arial" w:hAnsi="Arial" w:cs="Arial"/>
        </w:rPr>
        <w:t xml:space="preserve"> </w:t>
      </w:r>
      <w:r w:rsidRPr="00ED6435">
        <w:rPr>
          <w:rFonts w:ascii="Arial" w:hAnsi="Arial" w:cs="Arial"/>
        </w:rPr>
        <w:t>Česká národní banka</w:t>
      </w:r>
    </w:p>
    <w:p w14:paraId="38810379" w14:textId="77777777" w:rsidR="00345994" w:rsidRPr="00ED6435" w:rsidRDefault="00345994" w:rsidP="00345994">
      <w:pPr>
        <w:spacing w:after="120"/>
        <w:ind w:left="4536" w:right="1417" w:hanging="3969"/>
        <w:contextualSpacing/>
        <w:jc w:val="both"/>
        <w:rPr>
          <w:rFonts w:ascii="Arial" w:hAnsi="Arial" w:cs="Arial"/>
          <w:b/>
          <w:i/>
        </w:rPr>
      </w:pPr>
      <w:r w:rsidRPr="00ED6435">
        <w:rPr>
          <w:rFonts w:ascii="Arial" w:hAnsi="Arial" w:cs="Arial"/>
        </w:rPr>
        <w:t>Číslo účtu: 3723001/0710</w:t>
      </w:r>
    </w:p>
    <w:p w14:paraId="486EF7F9" w14:textId="77777777" w:rsidR="00345994" w:rsidRPr="00ED6435" w:rsidRDefault="00345994" w:rsidP="00345994">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642BDC14" w14:textId="77777777" w:rsidR="00345994" w:rsidRPr="00ED6435" w:rsidRDefault="00345994" w:rsidP="00345994">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01A6D631" w14:textId="77777777" w:rsidR="00345994" w:rsidRPr="00ED6435" w:rsidRDefault="00345994" w:rsidP="00345994">
      <w:pPr>
        <w:spacing w:before="240" w:after="120"/>
        <w:ind w:left="567"/>
        <w:jc w:val="both"/>
        <w:rPr>
          <w:rFonts w:ascii="Arial" w:hAnsi="Arial" w:cs="Arial"/>
          <w:b/>
        </w:rPr>
      </w:pPr>
      <w:r w:rsidRPr="00ED6435">
        <w:rPr>
          <w:rFonts w:ascii="Arial" w:hAnsi="Arial" w:cs="Arial"/>
        </w:rPr>
        <w:t>a</w:t>
      </w:r>
    </w:p>
    <w:p w14:paraId="7873D0FE" w14:textId="77777777" w:rsidR="00345994" w:rsidRPr="00ED6435" w:rsidRDefault="00345994" w:rsidP="00345994">
      <w:pPr>
        <w:numPr>
          <w:ilvl w:val="0"/>
          <w:numId w:val="15"/>
        </w:numPr>
        <w:spacing w:before="240" w:after="0" w:line="240" w:lineRule="auto"/>
        <w:ind w:left="567" w:hanging="567"/>
        <w:jc w:val="both"/>
        <w:rPr>
          <w:rFonts w:ascii="Arial" w:hAnsi="Arial" w:cs="Arial"/>
          <w:b/>
        </w:rPr>
      </w:pPr>
      <w:r w:rsidRPr="00ED6435">
        <w:rPr>
          <w:rFonts w:ascii="Arial" w:hAnsi="Arial" w:cs="Arial"/>
          <w:b/>
        </w:rPr>
        <w:t>[Obchodní firma zhotovitele]</w:t>
      </w:r>
    </w:p>
    <w:p w14:paraId="0E258D26" w14:textId="77777777" w:rsidR="00345994" w:rsidRPr="00ED6435" w:rsidRDefault="00345994" w:rsidP="00345994">
      <w:pPr>
        <w:spacing w:after="0"/>
        <w:ind w:left="567"/>
        <w:jc w:val="both"/>
        <w:rPr>
          <w:rFonts w:ascii="Arial" w:hAnsi="Arial" w:cs="Arial"/>
          <w:snapToGrid w:val="0"/>
        </w:rPr>
      </w:pPr>
      <w:r>
        <w:rPr>
          <w:rFonts w:ascii="Arial" w:hAnsi="Arial" w:cs="Arial"/>
        </w:rPr>
        <w:t>S</w:t>
      </w:r>
      <w:r w:rsidRPr="00ED6435">
        <w:rPr>
          <w:rFonts w:ascii="Arial" w:hAnsi="Arial" w:cs="Arial"/>
        </w:rPr>
        <w:t xml:space="preserve">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1A4A6F9" w14:textId="77777777" w:rsidR="00345994" w:rsidRPr="00ED6435" w:rsidRDefault="00345994" w:rsidP="00345994">
      <w:pPr>
        <w:spacing w:after="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34A672D4" w14:textId="77777777" w:rsidR="00345994" w:rsidRPr="00ED6435" w:rsidRDefault="00345994" w:rsidP="00345994">
      <w:pPr>
        <w:spacing w:after="0"/>
        <w:ind w:left="567"/>
        <w:jc w:val="both"/>
        <w:rPr>
          <w:rFonts w:ascii="Arial" w:hAnsi="Arial" w:cs="Arial"/>
        </w:rPr>
      </w:pPr>
      <w:r w:rsidRPr="00ED6435">
        <w:rPr>
          <w:rFonts w:ascii="Arial" w:hAnsi="Arial" w:cs="Arial"/>
        </w:rPr>
        <w:t xml:space="preserve">Ve smluvních záležitostech </w:t>
      </w:r>
      <w:proofErr w:type="gramStart"/>
      <w:r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708FF6B8" w14:textId="77777777" w:rsidR="00345994" w:rsidRPr="00ED6435" w:rsidRDefault="00345994" w:rsidP="00345994">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Pr="00ED6435">
        <w:rPr>
          <w:rFonts w:ascii="Arial" w:hAnsi="Arial" w:cs="Arial"/>
        </w:rPr>
        <w:t xml:space="preserve">zastoupená: </w:t>
      </w:r>
      <w:r w:rsidRPr="00ED6435">
        <w:rPr>
          <w:rFonts w:ascii="Arial" w:hAnsi="Arial" w:cs="Arial"/>
          <w:snapToGrid w:val="0"/>
        </w:rPr>
        <w:t>....</w:t>
      </w:r>
      <w:proofErr w:type="gramEnd"/>
      <w:r w:rsidRPr="00ED6435">
        <w:rPr>
          <w:rFonts w:ascii="Arial" w:hAnsi="Arial" w:cs="Arial"/>
          <w:snapToGrid w:val="0"/>
        </w:rPr>
        <w:t xml:space="preserve">. </w:t>
      </w:r>
    </w:p>
    <w:p w14:paraId="5DF8EA87" w14:textId="77777777" w:rsidR="00345994" w:rsidRPr="00ED6435" w:rsidRDefault="00345994" w:rsidP="00345994">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314A1649" w14:textId="77777777" w:rsidR="00345994" w:rsidRPr="00ED6435" w:rsidRDefault="00345994" w:rsidP="00345994">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0245AED0" w14:textId="77777777" w:rsidR="00345994" w:rsidRPr="00ED6435" w:rsidRDefault="00345994" w:rsidP="00345994">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6500F32" w14:textId="77777777" w:rsidR="00345994" w:rsidRPr="00ED6435" w:rsidRDefault="00345994" w:rsidP="00345994">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0863BC66" w14:textId="77777777" w:rsidR="00345994" w:rsidRPr="00ED6435" w:rsidRDefault="00345994" w:rsidP="00345994">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753F4741" w14:textId="77777777" w:rsidR="00345994" w:rsidRPr="00ED6435" w:rsidRDefault="00345994" w:rsidP="00345994">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79D7D48" w14:textId="77777777" w:rsidR="00345994" w:rsidRPr="00ED6435" w:rsidRDefault="00345994" w:rsidP="00345994">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0FDBDF98" w14:textId="77777777" w:rsidR="00345994" w:rsidRPr="00ED6435" w:rsidRDefault="00345994" w:rsidP="00345994">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4" w:name="_Ref420387783"/>
    </w:p>
    <w:p w14:paraId="2F9D7C13" w14:textId="6320A5BA" w:rsidR="00A35E8F" w:rsidRPr="00ED6435" w:rsidRDefault="00BE267F" w:rsidP="00B77235">
      <w:pPr>
        <w:pStyle w:val="Preambule"/>
        <w:keepNext/>
        <w:widowControl/>
        <w:spacing w:line="240" w:lineRule="auto"/>
        <w:jc w:val="both"/>
        <w:rPr>
          <w:rFonts w:ascii="Arial" w:hAnsi="Arial" w:cs="Arial"/>
        </w:rPr>
      </w:pPr>
      <w:bookmarkStart w:id="5"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bookmarkStart w:id="6" w:name="_Hlk75348346"/>
      <w:r w:rsidR="006106D4">
        <w:rPr>
          <w:rFonts w:ascii="Arial" w:hAnsi="Arial" w:cs="Arial"/>
          <w:b/>
          <w:bCs/>
        </w:rPr>
        <w:t>v </w:t>
      </w:r>
      <w:proofErr w:type="spellStart"/>
      <w:r w:rsidR="006106D4">
        <w:rPr>
          <w:rFonts w:ascii="Arial" w:hAnsi="Arial" w:cs="Arial"/>
          <w:b/>
          <w:bCs/>
        </w:rPr>
        <w:t>k.ú</w:t>
      </w:r>
      <w:proofErr w:type="spellEnd"/>
      <w:r w:rsidR="006106D4">
        <w:rPr>
          <w:rFonts w:ascii="Arial" w:hAnsi="Arial" w:cs="Arial"/>
          <w:b/>
          <w:bCs/>
        </w:rPr>
        <w:t>. Jasenice u Valašského Meziříčí</w:t>
      </w:r>
      <w:bookmarkEnd w:id="6"/>
      <w:r w:rsidRPr="00ED6435">
        <w:rPr>
          <w:rFonts w:ascii="Arial" w:hAnsi="Arial" w:cs="Arial"/>
        </w:rPr>
        <w:t>“</w:t>
      </w:r>
      <w:r w:rsidR="000F4C5B">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5"/>
      <w:r w:rsidR="00A35E8F" w:rsidRPr="00ED6435">
        <w:rPr>
          <w:rFonts w:ascii="Arial" w:hAnsi="Arial" w:cs="Arial"/>
        </w:rPr>
        <w:t>vytvoř</w:t>
      </w:r>
      <w:bookmarkEnd w:id="4"/>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59256D9"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50DBB82" w:rsidR="00117696" w:rsidRPr="00ED6435" w:rsidRDefault="001500FF" w:rsidP="00B77235">
      <w:pPr>
        <w:pStyle w:val="Level2"/>
        <w:spacing w:line="240" w:lineRule="auto"/>
        <w:ind w:left="567" w:hanging="567"/>
        <w:jc w:val="both"/>
        <w:rPr>
          <w:rFonts w:ascii="Arial" w:hAnsi="Arial" w:cs="Arial"/>
          <w:szCs w:val="22"/>
        </w:rPr>
      </w:pPr>
      <w:bookmarkStart w:id="7"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033C48" w:rsidRPr="00033C48">
        <w:rPr>
          <w:rFonts w:ascii="Arial" w:hAnsi="Arial" w:cs="Arial"/>
          <w:b/>
          <w:bCs/>
          <w:szCs w:val="22"/>
        </w:rPr>
        <w:t xml:space="preserve">v </w:t>
      </w:r>
      <w:proofErr w:type="spellStart"/>
      <w:r w:rsidR="00033C48" w:rsidRPr="00033C48">
        <w:rPr>
          <w:rFonts w:ascii="Arial" w:hAnsi="Arial" w:cs="Arial"/>
          <w:b/>
          <w:bCs/>
          <w:szCs w:val="22"/>
        </w:rPr>
        <w:t>k.ú</w:t>
      </w:r>
      <w:proofErr w:type="spellEnd"/>
      <w:r w:rsidR="00033C48" w:rsidRPr="00033C48">
        <w:rPr>
          <w:rFonts w:ascii="Arial" w:hAnsi="Arial" w:cs="Arial"/>
          <w:b/>
          <w:bCs/>
          <w:szCs w:val="22"/>
        </w:rPr>
        <w:t>. Jasenice u Valašského Meziříčí</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7"/>
    </w:p>
    <w:p w14:paraId="2688741A" w14:textId="6F8B924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9357B0" w:rsidRPr="009357B0">
        <w:rPr>
          <w:rFonts w:ascii="Arial" w:hAnsi="Arial" w:cs="Arial"/>
        </w:rPr>
        <w:t xml:space="preserve">v </w:t>
      </w:r>
      <w:proofErr w:type="spellStart"/>
      <w:r w:rsidR="009357B0" w:rsidRPr="009357B0">
        <w:rPr>
          <w:rFonts w:ascii="Arial" w:hAnsi="Arial" w:cs="Arial"/>
        </w:rPr>
        <w:t>k.ú</w:t>
      </w:r>
      <w:proofErr w:type="spellEnd"/>
      <w:r w:rsidR="009357B0" w:rsidRPr="009357B0">
        <w:rPr>
          <w:rFonts w:ascii="Arial" w:hAnsi="Arial" w:cs="Arial"/>
        </w:rPr>
        <w:t>. Jasenice u Valašského Meziříčí</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8" w:name="_Ref50801105"/>
      <w:bookmarkStart w:id="9"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8"/>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9"/>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0" w:name="_Ref50757891"/>
      <w:r w:rsidRPr="00ED6435">
        <w:rPr>
          <w:rFonts w:ascii="Arial" w:hAnsi="Arial" w:cs="Arial"/>
          <w:szCs w:val="22"/>
        </w:rPr>
        <w:t>Cena díla</w:t>
      </w:r>
      <w:bookmarkEnd w:id="10"/>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11"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2" w:name="_Ref50660230"/>
      <w:bookmarkEnd w:id="11"/>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12"/>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0B3A0942"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2BC82D4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158C94C8"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0C70E1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0340CEFF"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56331C5"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13"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3"/>
      <w:r w:rsidR="001020B7" w:rsidRPr="00ED6435">
        <w:rPr>
          <w:rFonts w:ascii="Arial" w:hAnsi="Arial" w:cs="Arial"/>
          <w:szCs w:val="22"/>
        </w:rPr>
        <w:t xml:space="preserve"> </w:t>
      </w:r>
      <w:bookmarkStart w:id="14"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4"/>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5" w:name="_Ref50491043"/>
      <w:r w:rsidRPr="00ED6435">
        <w:rPr>
          <w:rFonts w:ascii="Arial" w:hAnsi="Arial" w:cs="Arial"/>
          <w:szCs w:val="22"/>
        </w:rPr>
        <w:t>Platební a fakturační podmínky</w:t>
      </w:r>
      <w:bookmarkEnd w:id="15"/>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6" w:name="_Ref17389404"/>
      <w:bookmarkStart w:id="17" w:name="_Ref50549080"/>
      <w:bookmarkStart w:id="18"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6"/>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87E258D"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845D58" w:rsidRPr="00845D58">
        <w:rPr>
          <w:rFonts w:ascii="Arial" w:hAnsi="Arial" w:cs="Arial"/>
          <w:szCs w:val="22"/>
        </w:rPr>
        <w:t>Státní pozemkový úřad, Krajský pozemkový úřad pro Zlínský kraj, Pobočka Vsetín, 4. května 287, 755 01 Vsetín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9" w:name="_Ref53578016"/>
      <w:r w:rsidRPr="00C62699">
        <w:rPr>
          <w:rFonts w:ascii="Arial" w:hAnsi="Arial" w:cs="Arial"/>
          <w:szCs w:val="22"/>
        </w:rPr>
        <w:t xml:space="preserve">Splatnost jednotlivých Faktur je třicet (30) kalendářních dnů ode dne prokazatelného doručení Objednateli. </w:t>
      </w:r>
      <w:bookmarkEnd w:id="17"/>
      <w:bookmarkEnd w:id="18"/>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9"/>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0" w:name="_Ref453331188"/>
      <w:bookmarkStart w:id="21" w:name="_Toc453594239"/>
      <w:r w:rsidRPr="00ED6435">
        <w:rPr>
          <w:rFonts w:ascii="Arial" w:hAnsi="Arial" w:cs="Arial"/>
          <w:szCs w:val="22"/>
        </w:rPr>
        <w:t xml:space="preserve">Další podmínky </w:t>
      </w:r>
      <w:bookmarkEnd w:id="20"/>
      <w:bookmarkEnd w:id="21"/>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2"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2"/>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23" w:name="_Ref52029448"/>
      <w:bookmarkStart w:id="24" w:name="_Ref471937133"/>
      <w:r w:rsidRPr="00ED6435">
        <w:rPr>
          <w:rFonts w:ascii="Arial" w:hAnsi="Arial" w:cs="Arial"/>
          <w:bCs/>
        </w:rPr>
        <w:t>Položkovém výkazu;</w:t>
      </w:r>
      <w:bookmarkEnd w:id="23"/>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5" w:name="_Ref515487239"/>
      <w:bookmarkEnd w:id="24"/>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6" w:name="_Ref50802104"/>
      <w:r w:rsidRPr="00ED6435">
        <w:rPr>
          <w:rFonts w:ascii="Arial" w:hAnsi="Arial" w:cs="Arial"/>
        </w:rPr>
        <w:t>Nabídce</w:t>
      </w:r>
      <w:r w:rsidR="00D1092E" w:rsidRPr="00ED6435">
        <w:rPr>
          <w:rFonts w:ascii="Arial" w:hAnsi="Arial" w:cs="Arial"/>
        </w:rPr>
        <w:t>.</w:t>
      </w:r>
      <w:bookmarkEnd w:id="25"/>
      <w:bookmarkEnd w:id="26"/>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7"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7"/>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8"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8"/>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9" w:name="_Ref69389189"/>
      <w:bookmarkStart w:id="30" w:name="_Ref62484289"/>
      <w:bookmarkStart w:id="31" w:name="_Hlk63750513"/>
      <w:r w:rsidRPr="00CB3B7F">
        <w:rPr>
          <w:rFonts w:ascii="Arial" w:hAnsi="Arial" w:cs="Arial"/>
          <w:iCs/>
          <w:szCs w:val="22"/>
        </w:rPr>
        <w:t>Zhotovitel se zavazuje po celou dobu provádění Díla zabezpečit:</w:t>
      </w:r>
      <w:bookmarkEnd w:id="29"/>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9DD4D2E" w:rsidR="00FB0862" w:rsidRPr="00537A46" w:rsidRDefault="00FB0862" w:rsidP="00FB0862">
      <w:pPr>
        <w:pStyle w:val="Level2"/>
        <w:spacing w:line="240" w:lineRule="auto"/>
        <w:ind w:left="567" w:hanging="567"/>
        <w:jc w:val="both"/>
        <w:rPr>
          <w:rFonts w:ascii="Arial" w:hAnsi="Arial" w:cs="Arial"/>
          <w:iCs/>
          <w:szCs w:val="22"/>
        </w:rPr>
      </w:pPr>
      <w:bookmarkStart w:id="32" w:name="_Ref62484425"/>
      <w:bookmarkEnd w:id="30"/>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2"/>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3" w:name="_Ref61944078"/>
      <w:r w:rsidRPr="00FF0413">
        <w:rPr>
          <w:rFonts w:ascii="Arial" w:hAnsi="Arial" w:cs="Arial"/>
        </w:rPr>
        <w:t xml:space="preserve">Zhotovitel se zavazuje, </w:t>
      </w:r>
      <w:bookmarkStart w:id="3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3"/>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5" w:name="_Ref51579571"/>
      <w:bookmarkStart w:id="36" w:name="_Ref66878947"/>
      <w:bookmarkStart w:id="37" w:name="_Hlk64298003"/>
      <w:bookmarkEnd w:id="31"/>
      <w:r w:rsidRPr="00C62699">
        <w:rPr>
          <w:rFonts w:ascii="Arial" w:hAnsi="Arial" w:cs="Arial"/>
          <w:szCs w:val="22"/>
        </w:rPr>
        <w:t>Rozsah díla a jeho členění na hlavní celky a dílčí části</w:t>
      </w:r>
      <w:bookmarkEnd w:id="35"/>
      <w:r w:rsidRPr="00C62699">
        <w:rPr>
          <w:rFonts w:ascii="Arial" w:hAnsi="Arial" w:cs="Arial"/>
          <w:szCs w:val="22"/>
        </w:rPr>
        <w:t xml:space="preserve"> </w:t>
      </w:r>
      <w:r w:rsidR="00D6651A" w:rsidRPr="00C62699">
        <w:rPr>
          <w:rFonts w:ascii="Arial" w:hAnsi="Arial" w:cs="Arial"/>
          <w:szCs w:val="22"/>
        </w:rPr>
        <w:t>Hlavních celků</w:t>
      </w:r>
      <w:bookmarkEnd w:id="3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8" w:name="_Ref51578340"/>
      <w:bookmarkStart w:id="3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8"/>
      <w:r w:rsidR="00BB50B8" w:rsidRPr="00C62699">
        <w:rPr>
          <w:rFonts w:ascii="Arial" w:hAnsi="Arial" w:cs="Arial"/>
          <w:szCs w:val="22"/>
        </w:rPr>
        <w:t>.</w:t>
      </w:r>
      <w:bookmarkEnd w:id="3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4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40"/>
    </w:p>
    <w:p w14:paraId="048050AB" w14:textId="2ECDA3A5" w:rsidR="00B9128B" w:rsidRPr="00822189" w:rsidRDefault="00B9128B" w:rsidP="002B2B06">
      <w:pPr>
        <w:pStyle w:val="Level3"/>
        <w:tabs>
          <w:tab w:val="clear" w:pos="2041"/>
        </w:tabs>
        <w:ind w:left="1418"/>
        <w:rPr>
          <w:rFonts w:ascii="Arial" w:hAnsi="Arial" w:cs="Arial"/>
        </w:rPr>
      </w:pPr>
      <w:bookmarkStart w:id="41" w:name="_Ref51579618"/>
      <w:bookmarkStart w:id="42" w:name="_Ref52043318"/>
      <w:r w:rsidRPr="00822189">
        <w:rPr>
          <w:rFonts w:ascii="Arial" w:hAnsi="Arial" w:cs="Arial"/>
        </w:rPr>
        <w:t>Revize a doplnění stávajícího bodového pole:</w:t>
      </w:r>
      <w:bookmarkEnd w:id="41"/>
      <w:bookmarkEnd w:id="42"/>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3" w:name="_Ref51579678"/>
      <w:bookmarkStart w:id="4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43"/>
      <w:bookmarkEnd w:id="44"/>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5"/>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02FD2AF6" w:rsidR="006B518C" w:rsidRPr="00CF4F60" w:rsidRDefault="006B518C" w:rsidP="00146BD7">
      <w:pPr>
        <w:pStyle w:val="Level3"/>
        <w:tabs>
          <w:tab w:val="clear" w:pos="2041"/>
        </w:tabs>
        <w:ind w:left="1418"/>
        <w:jc w:val="both"/>
        <w:rPr>
          <w:rFonts w:ascii="Arial" w:hAnsi="Arial" w:cs="Arial"/>
        </w:rPr>
      </w:pPr>
      <w:bookmarkStart w:id="46" w:name="_Ref64278780"/>
      <w:bookmarkStart w:id="47" w:name="_Ref51578703"/>
      <w:bookmarkStart w:id="48" w:name="_Ref52043347"/>
      <w:proofErr w:type="spellStart"/>
      <w:r w:rsidRPr="5784E4A4">
        <w:rPr>
          <w:rFonts w:ascii="Arial" w:hAnsi="Arial" w:cs="Arial"/>
        </w:rPr>
        <w:t>Vektorizace</w:t>
      </w:r>
      <w:proofErr w:type="spellEnd"/>
      <w:r w:rsidRPr="5784E4A4">
        <w:rPr>
          <w:rFonts w:ascii="Arial" w:hAnsi="Arial" w:cs="Arial"/>
        </w:rPr>
        <w:t xml:space="preserve"> vlastnické mapy</w:t>
      </w:r>
      <w:r w:rsidR="00F623D6">
        <w:rPr>
          <w:rFonts w:ascii="Arial" w:hAnsi="Arial" w:cs="Arial"/>
        </w:rPr>
        <w:t xml:space="preserve"> </w:t>
      </w:r>
      <w:bookmarkStart w:id="49" w:name="_Hlk76644234"/>
      <w:bookmarkEnd w:id="46"/>
      <w:r w:rsidR="00F623D6">
        <w:rPr>
          <w:rFonts w:ascii="Arial" w:hAnsi="Arial" w:cs="Arial"/>
        </w:rPr>
        <w:t xml:space="preserve">– </w:t>
      </w:r>
      <w:r w:rsidR="00F623D6" w:rsidRPr="00035E36">
        <w:rPr>
          <w:rFonts w:cstheme="minorHAnsi"/>
          <w:b/>
          <w:bCs/>
          <w:sz w:val="24"/>
          <w:szCs w:val="24"/>
        </w:rPr>
        <w:t>NENÍ PŘEDMĚTEM TÉTO SMLOUVY</w:t>
      </w:r>
      <w:r w:rsidR="00F623D6">
        <w:rPr>
          <w:rStyle w:val="Odkaznakoment"/>
          <w:kern w:val="0"/>
        </w:rPr>
        <w:t xml:space="preserve"> </w:t>
      </w:r>
      <w:bookmarkEnd w:id="49"/>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0"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7"/>
      <w:bookmarkEnd w:id="48"/>
      <w:bookmarkEnd w:id="50"/>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51"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1"/>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52" w:name="_Ref64278867"/>
      <w:r w:rsidRPr="5784E4A4">
        <w:rPr>
          <w:rFonts w:ascii="Arial" w:hAnsi="Arial" w:cs="Arial"/>
        </w:rPr>
        <w:t>Zjišťování hranic pozemků neřešených dle § 2 Zákona:</w:t>
      </w:r>
      <w:bookmarkEnd w:id="52"/>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0988A80B" w:rsidR="00F821DF" w:rsidRPr="00F821DF" w:rsidRDefault="00F821DF" w:rsidP="00C643A6">
      <w:pPr>
        <w:pStyle w:val="Level3"/>
        <w:tabs>
          <w:tab w:val="clear" w:pos="2041"/>
        </w:tabs>
        <w:ind w:left="1418"/>
        <w:jc w:val="both"/>
        <w:rPr>
          <w:rFonts w:ascii="Arial" w:hAnsi="Arial" w:cs="Arial"/>
        </w:rPr>
      </w:pPr>
      <w:bookmarkStart w:id="53"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53"/>
      <w:proofErr w:type="spellEnd"/>
      <w:r w:rsidRPr="5784E4A4">
        <w:rPr>
          <w:rFonts w:ascii="Arial" w:hAnsi="Arial" w:cs="Arial"/>
        </w:rPr>
        <w:t xml:space="preserve"> </w:t>
      </w:r>
      <w:r w:rsidR="00035E36" w:rsidRPr="00035E36">
        <w:rPr>
          <w:rFonts w:ascii="Arial" w:hAnsi="Arial" w:cs="Arial"/>
          <w:kern w:val="0"/>
          <w:szCs w:val="22"/>
        </w:rPr>
        <w:t xml:space="preserve">– </w:t>
      </w:r>
      <w:r w:rsidR="00035E36" w:rsidRPr="00035E36">
        <w:rPr>
          <w:rFonts w:cstheme="minorHAnsi"/>
          <w:b/>
          <w:bCs/>
          <w:kern w:val="0"/>
          <w:sz w:val="24"/>
          <w:szCs w:val="24"/>
        </w:rPr>
        <w:t>NENÍ PŘEDMĚTEM TÉTO SMLOUVY</w:t>
      </w:r>
      <w:r w:rsidR="00035E36" w:rsidRPr="00035E36">
        <w:rPr>
          <w:kern w:val="0"/>
          <w:sz w:val="16"/>
          <w:szCs w:val="16"/>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4" w:name="_Ref51578325"/>
      <w:bookmarkStart w:id="55" w:name="_Ref52043370"/>
      <w:r w:rsidRPr="5784E4A4">
        <w:rPr>
          <w:rFonts w:ascii="Arial" w:hAnsi="Arial" w:cs="Arial"/>
        </w:rPr>
        <w:t>Rozbor současného stavu:</w:t>
      </w:r>
      <w:bookmarkEnd w:id="54"/>
      <w:bookmarkEnd w:id="55"/>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6" w:name="_Ref51578378"/>
      <w:bookmarkStart w:id="57" w:name="_Ref52043390"/>
      <w:r w:rsidRPr="5784E4A4">
        <w:rPr>
          <w:rFonts w:ascii="Arial" w:hAnsi="Arial" w:cs="Arial"/>
        </w:rPr>
        <w:t>Dokumentace k soupisu nároků vlastníků pozemků:</w:t>
      </w:r>
      <w:bookmarkEnd w:id="56"/>
      <w:bookmarkEnd w:id="57"/>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8"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8"/>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9"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9"/>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0" w:name="_Ref51578417"/>
      <w:bookmarkStart w:id="61"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0"/>
      <w:bookmarkEnd w:id="61"/>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62"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2"/>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63"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3"/>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64" w:name="_Ref67496875"/>
      <w:bookmarkStart w:id="65"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4"/>
    </w:p>
    <w:p w14:paraId="580DBE5E" w14:textId="79776F32" w:rsidR="00B9128B" w:rsidRPr="00ED6435" w:rsidRDefault="00B9128B" w:rsidP="0040187F">
      <w:pPr>
        <w:pStyle w:val="Level3"/>
        <w:tabs>
          <w:tab w:val="clear" w:pos="2041"/>
        </w:tabs>
        <w:ind w:left="1418"/>
        <w:jc w:val="both"/>
        <w:rPr>
          <w:rFonts w:ascii="Arial" w:hAnsi="Arial" w:cs="Arial"/>
        </w:rPr>
      </w:pPr>
      <w:bookmarkStart w:id="66" w:name="_Ref51578489"/>
      <w:bookmarkStart w:id="67" w:name="_Ref52043431"/>
      <w:bookmarkEnd w:id="65"/>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6"/>
      <w:bookmarkEnd w:id="67"/>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8" w:name="_Ref51589667"/>
      <w:r w:rsidRPr="00ED6435">
        <w:rPr>
          <w:rFonts w:ascii="Arial" w:hAnsi="Arial" w:cs="Arial"/>
        </w:rPr>
        <w:t>Zapracování Objednatelem připuštěných připomínek vzešlých na základě výzvy Objednatele podle § 9 odst. 21 Zákona;</w:t>
      </w:r>
      <w:bookmarkEnd w:id="68"/>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9"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9"/>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70" w:name="_Ref51580149"/>
      <w:bookmarkStart w:id="71" w:name="_Ref52043450"/>
      <w:r w:rsidRPr="5784E4A4">
        <w:rPr>
          <w:rFonts w:ascii="Arial" w:hAnsi="Arial" w:cs="Arial"/>
        </w:rPr>
        <w:t>Dokončení a předložení aktuální dokumentace nového uspořádání pozemků a PSZ:</w:t>
      </w:r>
      <w:bookmarkEnd w:id="70"/>
      <w:bookmarkEnd w:id="71"/>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2" w:name="_Ref51580255"/>
      <w:bookmarkStart w:id="73" w:name="_Ref52043476"/>
      <w:r w:rsidRPr="5784E4A4">
        <w:rPr>
          <w:rFonts w:ascii="Arial" w:hAnsi="Arial" w:cs="Arial"/>
        </w:rPr>
        <w:t>Zhotovení podkladů pro změnu katastrální hranice</w:t>
      </w:r>
      <w:bookmarkEnd w:id="72"/>
      <w:r w:rsidR="00494633" w:rsidRPr="5784E4A4">
        <w:rPr>
          <w:rFonts w:ascii="Arial" w:hAnsi="Arial" w:cs="Arial"/>
        </w:rPr>
        <w:t>:</w:t>
      </w:r>
      <w:bookmarkEnd w:id="73"/>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4" w:name="_Ref51580259"/>
      <w:bookmarkStart w:id="75" w:name="_Ref52043492"/>
      <w:r w:rsidRPr="5784E4A4">
        <w:rPr>
          <w:rFonts w:ascii="Arial" w:hAnsi="Arial" w:cs="Arial"/>
        </w:rPr>
        <w:t>Aktualizace návrhu po ukončení odvolacího řízení</w:t>
      </w:r>
      <w:bookmarkEnd w:id="74"/>
      <w:r w:rsidR="00494633" w:rsidRPr="5784E4A4">
        <w:rPr>
          <w:rFonts w:ascii="Arial" w:hAnsi="Arial" w:cs="Arial"/>
        </w:rPr>
        <w:t>:</w:t>
      </w:r>
      <w:bookmarkEnd w:id="75"/>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6" w:name="_Ref51579017"/>
      <w:bookmarkStart w:id="77"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6"/>
      <w:bookmarkEnd w:id="77"/>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8" w:name="_Ref51578150"/>
      <w:r w:rsidRPr="00C62699">
        <w:rPr>
          <w:rFonts w:ascii="Arial" w:hAnsi="Arial" w:cs="Arial"/>
          <w:szCs w:val="22"/>
        </w:rPr>
        <w:t>Technické požadavky na provedení díla</w:t>
      </w:r>
      <w:bookmarkEnd w:id="78"/>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9"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0" w:name="_Ref61943163"/>
      <w:bookmarkEnd w:id="79"/>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0"/>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1"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81"/>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2"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82"/>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83"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83"/>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4" w:name="_Ref26987952"/>
      <w:r w:rsidRPr="00312425">
        <w:rPr>
          <w:rFonts w:ascii="Arial" w:hAnsi="Arial" w:cs="Arial"/>
          <w:szCs w:val="22"/>
        </w:rPr>
        <w:t>Poddodavatelé</w:t>
      </w:r>
      <w:bookmarkEnd w:id="84"/>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8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5"/>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6"/>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8"/>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ED00D99"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C544C2" w:rsidRPr="00C544C2">
        <w:rPr>
          <w:rFonts w:ascii="Arial" w:hAnsi="Arial" w:cs="Arial"/>
          <w:szCs w:val="22"/>
        </w:rPr>
        <w:t>Vsetín, 4. května 287, 755 01 Vsetín.</w:t>
      </w:r>
      <w:r w:rsidR="004C712A" w:rsidRPr="00C62699">
        <w:rPr>
          <w:rFonts w:ascii="Arial" w:hAnsi="Arial" w:cs="Arial"/>
          <w:szCs w:val="22"/>
        </w:rPr>
        <w:t xml:space="preserve">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9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0"/>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9"/>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91" w:name="_Ref50734694"/>
      <w:bookmarkStart w:id="92"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1"/>
      <w:bookmarkEnd w:id="92"/>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3" w:name="_Ref50734071"/>
      <w:bookmarkStart w:id="9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3"/>
      <w:r w:rsidR="00001B85" w:rsidRPr="00C62699">
        <w:rPr>
          <w:rFonts w:ascii="Arial" w:hAnsi="Arial" w:cs="Arial"/>
          <w:szCs w:val="22"/>
        </w:rPr>
        <w:t xml:space="preserve"> či její části.</w:t>
      </w:r>
      <w:bookmarkEnd w:id="94"/>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9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6" w:name="_Hlk32248346"/>
      <w:r w:rsidR="00265F18" w:rsidRPr="00C62699">
        <w:rPr>
          <w:rFonts w:ascii="Arial" w:hAnsi="Arial" w:cs="Arial"/>
          <w:szCs w:val="22"/>
        </w:rPr>
        <w:t>dílčí části</w:t>
      </w:r>
      <w:bookmarkEnd w:id="96"/>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7" w:name="_Ref50757872"/>
      <w:r w:rsidRPr="00C62699">
        <w:rPr>
          <w:rFonts w:ascii="Arial" w:hAnsi="Arial" w:cs="Arial"/>
          <w:szCs w:val="22"/>
        </w:rPr>
        <w:t>Práva duševního vlastnictví</w:t>
      </w:r>
      <w:bookmarkEnd w:id="97"/>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8"/>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1" w:name="3dy6vkm" w:colFirst="0" w:colLast="0"/>
      <w:bookmarkEnd w:id="101"/>
      <w:r w:rsidRPr="00ED6435">
        <w:rPr>
          <w:rFonts w:ascii="Arial" w:hAnsi="Arial" w:cs="Arial"/>
          <w:szCs w:val="22"/>
        </w:rPr>
        <w:t>.</w:t>
      </w:r>
      <w:bookmarkEnd w:id="10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3" w:name="1fob9te"/>
      <w:bookmarkEnd w:id="103"/>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4" w:name="_Ref40712548"/>
      <w:bookmarkStart w:id="105" w:name="_Ref50746594"/>
      <w:bookmarkStart w:id="106" w:name="_Ref464484026"/>
      <w:r w:rsidRPr="00ED6435">
        <w:rPr>
          <w:rFonts w:ascii="Arial" w:hAnsi="Arial" w:cs="Arial"/>
          <w:szCs w:val="22"/>
        </w:rPr>
        <w:t>Ochrana osobních údajů</w:t>
      </w:r>
      <w:bookmarkEnd w:id="104"/>
      <w:r w:rsidRPr="00ED6435">
        <w:rPr>
          <w:rFonts w:ascii="Arial" w:hAnsi="Arial" w:cs="Arial"/>
          <w:szCs w:val="22"/>
        </w:rPr>
        <w:t xml:space="preserve"> a Důvěrných informací</w:t>
      </w:r>
      <w:bookmarkEnd w:id="10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7"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7"/>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0" w:name="_Toc289800492"/>
      <w:bookmarkStart w:id="111" w:name="_Ref291179101"/>
      <w:bookmarkStart w:id="112" w:name="_Toc312929180"/>
      <w:bookmarkStart w:id="113" w:name="_Toc378536906"/>
      <w:bookmarkStart w:id="114" w:name="_Ref378613694"/>
      <w:bookmarkStart w:id="115" w:name="_Ref17209282"/>
      <w:bookmarkStart w:id="116" w:name="_Ref17237912"/>
      <w:bookmarkStart w:id="117" w:name="_Ref50745432"/>
      <w:bookmarkStart w:id="118" w:name="_Ref50753842"/>
      <w:bookmarkStart w:id="119" w:name="_Ref50762946"/>
      <w:r w:rsidRPr="00C62699">
        <w:rPr>
          <w:rFonts w:ascii="Arial" w:hAnsi="Arial" w:cs="Arial"/>
          <w:szCs w:val="22"/>
        </w:rPr>
        <w:t>Záruka za jakost, práva z vad</w:t>
      </w:r>
      <w:bookmarkEnd w:id="110"/>
      <w:bookmarkEnd w:id="111"/>
      <w:bookmarkEnd w:id="112"/>
      <w:r w:rsidRPr="00C62699">
        <w:rPr>
          <w:rFonts w:ascii="Arial" w:hAnsi="Arial" w:cs="Arial"/>
          <w:szCs w:val="22"/>
        </w:rPr>
        <w:t>ného plnění</w:t>
      </w:r>
      <w:bookmarkEnd w:id="113"/>
      <w:bookmarkEnd w:id="114"/>
      <w:bookmarkEnd w:id="115"/>
      <w:bookmarkEnd w:id="116"/>
      <w:bookmarkEnd w:id="117"/>
      <w:bookmarkEnd w:id="118"/>
      <w:bookmarkEnd w:id="119"/>
    </w:p>
    <w:p w14:paraId="54AF38D9" w14:textId="7370E734" w:rsidR="008D4ECD" w:rsidRPr="00C62699" w:rsidRDefault="008D4ECD" w:rsidP="00B77235">
      <w:pPr>
        <w:pStyle w:val="Level2"/>
        <w:spacing w:line="240" w:lineRule="auto"/>
        <w:ind w:left="567" w:hanging="567"/>
        <w:jc w:val="both"/>
        <w:rPr>
          <w:rFonts w:ascii="Arial" w:hAnsi="Arial" w:cs="Arial"/>
          <w:szCs w:val="22"/>
        </w:rPr>
      </w:pPr>
      <w:bookmarkStart w:id="120" w:name="_Ref50763291"/>
      <w:bookmarkStart w:id="12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0"/>
      <w:r w:rsidRPr="00C62699">
        <w:rPr>
          <w:rFonts w:ascii="Arial" w:hAnsi="Arial" w:cs="Arial"/>
          <w:szCs w:val="22"/>
        </w:rPr>
        <w:t xml:space="preserve"> </w:t>
      </w:r>
      <w:bookmarkEnd w:id="12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3" w:name="_Ref310432732"/>
      <w:bookmarkStart w:id="12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2"/>
      <w:bookmarkEnd w:id="123"/>
      <w:bookmarkEnd w:id="124"/>
      <w:bookmarkEnd w:id="125"/>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6" w:name="_Ref517375268"/>
      <w:bookmarkStart w:id="127" w:name="_Toc532815641"/>
      <w:bookmarkStart w:id="128" w:name="_Toc48912290"/>
      <w:r w:rsidRPr="00ED6435">
        <w:rPr>
          <w:rFonts w:ascii="Arial" w:hAnsi="Arial" w:cs="Arial"/>
          <w:szCs w:val="22"/>
        </w:rPr>
        <w:t>Nárok na náhradu újmy</w:t>
      </w:r>
      <w:bookmarkEnd w:id="126"/>
      <w:bookmarkEnd w:id="127"/>
      <w:bookmarkEnd w:id="12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9" w:name="_Ref50582832"/>
      <w:bookmarkStart w:id="130" w:name="_Hlk30403582"/>
      <w:r w:rsidRPr="00ED6435">
        <w:rPr>
          <w:rFonts w:ascii="Arial" w:hAnsi="Arial" w:cs="Arial"/>
          <w:szCs w:val="22"/>
        </w:rPr>
        <w:t>Okolnosti vylučující povinnost k náhradě újmy</w:t>
      </w:r>
      <w:bookmarkEnd w:id="12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1" w:name="_Ref478006328"/>
      <w:bookmarkStart w:id="13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2"/>
      <w:bookmarkEnd w:id="133"/>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4" w:name="_Ref50753852"/>
      <w:r w:rsidRPr="00ED6435">
        <w:rPr>
          <w:rFonts w:ascii="Arial" w:hAnsi="Arial" w:cs="Arial"/>
          <w:szCs w:val="22"/>
        </w:rPr>
        <w:t>Sankční ujednání</w:t>
      </w:r>
      <w:bookmarkEnd w:id="13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5"/>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6"/>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7"/>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41FD27E"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C545F6">
        <w:rPr>
          <w:rFonts w:ascii="Arial" w:hAnsi="Arial" w:cs="Arial"/>
        </w:rPr>
        <w:t>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4B9CCD7E"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w:t>
      </w:r>
      <w:r w:rsidR="00C545F6">
        <w:rPr>
          <w:rFonts w:ascii="Arial" w:hAnsi="Arial" w:cs="Arial"/>
        </w:rPr>
        <w:t>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8" w:name="_Ref50750007"/>
      <w:bookmarkStart w:id="139" w:name="_Ref18364689"/>
      <w:bookmarkEnd w:id="130"/>
      <w:r w:rsidRPr="00ED6435">
        <w:rPr>
          <w:rFonts w:ascii="Arial" w:hAnsi="Arial" w:cs="Arial"/>
          <w:szCs w:val="22"/>
        </w:rPr>
        <w:t>Vyhrazená změna závazku, změna smlouvy a odstoupení</w:t>
      </w:r>
      <w:bookmarkEnd w:id="138"/>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4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0"/>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1"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2" w:name="_Ref52294104"/>
      <w:r w:rsidRPr="00C62699">
        <w:rPr>
          <w:rFonts w:ascii="Arial" w:hAnsi="Arial" w:cs="Arial"/>
          <w:szCs w:val="22"/>
        </w:rPr>
        <w:t>, a to v následujících situacích nezávislých na vůli Smluvních stran:</w:t>
      </w:r>
      <w:bookmarkEnd w:id="141"/>
      <w:bookmarkEnd w:id="142"/>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3"/>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4" w:name="_Ref370146871"/>
      <w:r w:rsidRPr="00ED6435">
        <w:rPr>
          <w:rFonts w:ascii="Arial" w:hAnsi="Arial" w:cs="Arial"/>
          <w:szCs w:val="22"/>
        </w:rPr>
        <w:t>Zhotovitel je oprávněn odstoupit od této Smlouvy pouze v případě jejího podstatného porušení, jestliže:</w:t>
      </w:r>
      <w:bookmarkEnd w:id="144"/>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5" w:name="_Ref50536468"/>
      <w:bookmarkStart w:id="14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5"/>
      <w:r w:rsidRPr="00ED6435">
        <w:rPr>
          <w:rFonts w:ascii="Arial" w:hAnsi="Arial" w:cs="Arial"/>
          <w:szCs w:val="22"/>
        </w:rPr>
        <w:t xml:space="preserve"> Protokol musí obsahovat zejména</w:t>
      </w:r>
      <w:r w:rsidR="00F65669" w:rsidRPr="00ED6435">
        <w:rPr>
          <w:rFonts w:ascii="Arial" w:hAnsi="Arial" w:cs="Arial"/>
          <w:szCs w:val="22"/>
        </w:rPr>
        <w:t>:</w:t>
      </w:r>
      <w:bookmarkEnd w:id="146"/>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8" w:name="_Ref50753902"/>
      <w:bookmarkStart w:id="149" w:name="_Ref450559147"/>
      <w:bookmarkStart w:id="150" w:name="_Ref469512616"/>
      <w:bookmarkStart w:id="151" w:name="_Ref64871784"/>
      <w:bookmarkStart w:id="15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9"/>
      <w:bookmarkEnd w:id="150"/>
      <w:r w:rsidR="00A111D3" w:rsidRPr="00ED6435">
        <w:rPr>
          <w:rFonts w:ascii="Arial" w:hAnsi="Arial" w:cs="Arial"/>
          <w:szCs w:val="22"/>
        </w:rPr>
        <w:t>.</w:t>
      </w:r>
      <w:bookmarkEnd w:id="15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3" w:name="_Ref50585481"/>
      <w:r w:rsidRPr="00ED6435">
        <w:rPr>
          <w:rFonts w:ascii="Arial" w:hAnsi="Arial" w:cs="Arial"/>
          <w:szCs w:val="22"/>
        </w:rPr>
        <w:t>Závěrečná ustanovení</w:t>
      </w:r>
      <w:bookmarkEnd w:id="15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4"/>
      <w:bookmarkEnd w:id="15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6" w:name="_Hlk57980945"/>
      <w:bookmarkStart w:id="157" w:name="_Ref378752179"/>
      <w:bookmarkStart w:id="158" w:name="_Toc289800496"/>
      <w:bookmarkStart w:id="15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6"/>
      <w:bookmarkEnd w:id="157"/>
      <w:bookmarkEnd w:id="158"/>
      <w:bookmarkEnd w:id="15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6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6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112C1CB" w:rsidR="002B735B" w:rsidRPr="00ED6435" w:rsidRDefault="008B187F"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Ve Zlíně </w:t>
      </w:r>
      <w:r w:rsidR="002B735B" w:rsidRPr="00ED6435">
        <w:rPr>
          <w:rFonts w:ascii="Arial" w:eastAsia="Times New Roman" w:hAnsi="Arial" w:cs="Arial"/>
          <w:bCs/>
          <w:lang w:eastAsia="cs-CZ"/>
        </w:rPr>
        <w:t>…………</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Místo: …………</w:t>
      </w:r>
    </w:p>
    <w:p w14:paraId="435FBFFE" w14:textId="772CFD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w:t>
      </w:r>
      <w:r w:rsidR="00A40F83">
        <w:rPr>
          <w:rFonts w:ascii="Arial" w:eastAsia="Times New Roman" w:hAnsi="Arial" w:cs="Arial"/>
          <w:bCs/>
          <w:lang w:eastAsia="cs-CZ"/>
        </w:rPr>
        <w:t>ne</w:t>
      </w:r>
      <w:r w:rsidRPr="00ED6435">
        <w:rPr>
          <w:rFonts w:ascii="Arial" w:eastAsia="Times New Roman" w:hAnsi="Arial" w:cs="Arial"/>
          <w:bCs/>
          <w:lang w:eastAsia="cs-CZ"/>
        </w:rPr>
        <w:t>: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3B75E23D" w14:textId="77777777" w:rsidR="002C469B" w:rsidRPr="00ED6435" w:rsidRDefault="002C469B" w:rsidP="002C469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Mlada Augustinová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6B23D64B" w14:textId="4D797497" w:rsidR="002C469B" w:rsidRDefault="002C469B" w:rsidP="002C469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ředitelka</w:t>
      </w:r>
    </w:p>
    <w:p w14:paraId="34750472" w14:textId="3FDC4A6E" w:rsidR="002C469B" w:rsidRPr="00ED6435" w:rsidRDefault="002C469B" w:rsidP="002C469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Krajského pozemkového úřadu pro Zlínský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08384B6E" w14:textId="77777777" w:rsidR="002C469B" w:rsidRPr="00ED6435" w:rsidRDefault="002C469B" w:rsidP="002C469B">
      <w:pPr>
        <w:spacing w:before="240" w:line="240" w:lineRule="auto"/>
        <w:jc w:val="both"/>
        <w:rPr>
          <w:rFonts w:ascii="Arial" w:hAnsi="Arial" w:cs="Arial"/>
          <w:b/>
        </w:rPr>
      </w:pPr>
    </w:p>
    <w:p w14:paraId="3D3AE081" w14:textId="094BC06B" w:rsidR="00B3745E" w:rsidRPr="00ED6435" w:rsidRDefault="00B3745E" w:rsidP="00A22A25">
      <w:pPr>
        <w:spacing w:line="240" w:lineRule="auto"/>
        <w:rPr>
          <w:rFonts w:ascii="Arial" w:hAnsi="Arial" w:cs="Arial"/>
        </w:rPr>
      </w:pPr>
    </w:p>
    <w:sectPr w:rsidR="00B3745E" w:rsidRPr="00ED6435" w:rsidSect="007936E4">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4C8F19" w14:textId="77777777" w:rsidR="00631946" w:rsidRDefault="00631946" w:rsidP="007936E4">
      <w:pPr>
        <w:spacing w:after="0"/>
      </w:pPr>
      <w:r>
        <w:separator/>
      </w:r>
    </w:p>
  </w:endnote>
  <w:endnote w:type="continuationSeparator" w:id="0">
    <w:p w14:paraId="2A64C125" w14:textId="77777777" w:rsidR="00631946" w:rsidRDefault="00631946" w:rsidP="007936E4">
      <w:pPr>
        <w:spacing w:after="0"/>
      </w:pPr>
      <w:r>
        <w:continuationSeparator/>
      </w:r>
    </w:p>
  </w:endnote>
  <w:endnote w:type="continuationNotice" w:id="1">
    <w:p w14:paraId="52DBFE2D" w14:textId="77777777" w:rsidR="00631946" w:rsidRDefault="0063194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ArialMT">
    <w:altName w:val="Arial"/>
    <w:charset w:val="00"/>
    <w:family w:val="auto"/>
    <w:pitch w:val="variable"/>
    <w:sig w:usb0="00000087" w:usb1="00000000" w:usb2="00000000" w:usb3="00000000" w:csb0="0000001B"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0D7C81" w14:textId="77777777" w:rsidR="00631946" w:rsidRDefault="00631946" w:rsidP="007936E4">
      <w:pPr>
        <w:spacing w:after="0"/>
      </w:pPr>
      <w:r>
        <w:separator/>
      </w:r>
    </w:p>
  </w:footnote>
  <w:footnote w:type="continuationSeparator" w:id="0">
    <w:p w14:paraId="0F420367" w14:textId="77777777" w:rsidR="00631946" w:rsidRDefault="00631946" w:rsidP="007936E4">
      <w:pPr>
        <w:spacing w:after="0"/>
      </w:pPr>
      <w:r>
        <w:continuationSeparator/>
      </w:r>
    </w:p>
  </w:footnote>
  <w:footnote w:type="continuationNotice" w:id="1">
    <w:p w14:paraId="16F1A72F" w14:textId="77777777" w:rsidR="00631946" w:rsidRDefault="00631946" w:rsidP="007936E4">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grammar="clean"/>
  <w:linkStyles/>
  <w:doNotTrackFormatting/>
  <w:defaultTabStop w:val="709"/>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18"/>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3C48"/>
    <w:rsid w:val="00035E36"/>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4C5B"/>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480"/>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5F6B"/>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8F3"/>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1E0F"/>
    <w:rsid w:val="001B2BBC"/>
    <w:rsid w:val="001B3074"/>
    <w:rsid w:val="001B3B51"/>
    <w:rsid w:val="001B405B"/>
    <w:rsid w:val="001B4F46"/>
    <w:rsid w:val="001B6410"/>
    <w:rsid w:val="001B6EBF"/>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69B"/>
    <w:rsid w:val="002C4857"/>
    <w:rsid w:val="002C515C"/>
    <w:rsid w:val="002C51D7"/>
    <w:rsid w:val="002C5999"/>
    <w:rsid w:val="002C5F4C"/>
    <w:rsid w:val="002C7287"/>
    <w:rsid w:val="002D02B2"/>
    <w:rsid w:val="002D07B9"/>
    <w:rsid w:val="002D1314"/>
    <w:rsid w:val="002D13A1"/>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4CF9"/>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45994"/>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09AE"/>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4B77"/>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06D4"/>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1946"/>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2EC"/>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66C6"/>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DF7"/>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965"/>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17F97"/>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5D58"/>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7F"/>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5E44"/>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0615B"/>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7B0"/>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70"/>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A25"/>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0F83"/>
    <w:rsid w:val="00A4198C"/>
    <w:rsid w:val="00A43591"/>
    <w:rsid w:val="00A435A0"/>
    <w:rsid w:val="00A44610"/>
    <w:rsid w:val="00A4505A"/>
    <w:rsid w:val="00A45451"/>
    <w:rsid w:val="00A45517"/>
    <w:rsid w:val="00A45F6A"/>
    <w:rsid w:val="00A50FEF"/>
    <w:rsid w:val="00A51CBD"/>
    <w:rsid w:val="00A52BE4"/>
    <w:rsid w:val="00A530FD"/>
    <w:rsid w:val="00A556FF"/>
    <w:rsid w:val="00A5783C"/>
    <w:rsid w:val="00A578D6"/>
    <w:rsid w:val="00A579D3"/>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C1"/>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53BA"/>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4C2"/>
    <w:rsid w:val="00C545F6"/>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6713E"/>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025"/>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047"/>
    <w:rsid w:val="00DA386C"/>
    <w:rsid w:val="00DA4335"/>
    <w:rsid w:val="00DA502E"/>
    <w:rsid w:val="00DA513E"/>
    <w:rsid w:val="00DA69F0"/>
    <w:rsid w:val="00DA71D2"/>
    <w:rsid w:val="00DA75B2"/>
    <w:rsid w:val="00DA7C76"/>
    <w:rsid w:val="00DB0057"/>
    <w:rsid w:val="00DB01CB"/>
    <w:rsid w:val="00DB09B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3ABF"/>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3D6"/>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80"/>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2AF"/>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5D1E"/>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6713E"/>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C6713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6713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nemejcova@spucr.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C8F67-C180-4AF5-9C20-F3AC5A434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15480</Words>
  <Characters>91334</Characters>
  <Application>Microsoft Office Word</Application>
  <DocSecurity>0</DocSecurity>
  <Lines>761</Lines>
  <Paragraphs>213</Paragraphs>
  <ScaleCrop>false</ScaleCrop>
  <HeadingPairs>
    <vt:vector size="4" baseType="variant">
      <vt:variant>
        <vt:lpstr>Název</vt:lpstr>
      </vt:variant>
      <vt:variant>
        <vt:i4>1</vt:i4>
      </vt:variant>
      <vt:variant>
        <vt:lpstr>Nadpisy</vt:lpstr>
      </vt:variant>
      <vt:variant>
        <vt:i4>100</vt:i4>
      </vt:variant>
    </vt:vector>
  </HeadingPairs>
  <TitlesOfParts>
    <vt:vector size="101" baseType="lpstr">
      <vt:lpstr/>
      <vt:lpstr>SMLOUVA O DÍLO</vt:lpstr>
      <vt:lpstr>Komplexní pozemkové úpravy v k.ú. Jasenice u Valašského Meziříčí</vt:lpstr>
      <vt:lpstr>SMLUVNÍ STRANY</vt:lpstr>
      <vt:lpstr>        Česká republika – Státní pozemkový úřad</vt:lpstr>
      <vt:lpstr>Preambule</vt:lpstr>
      <vt:lpstr>Předmět a účel smlouvy</vt:lpstr>
      <vt:lpstr>    Předmětem této Smlouvy je povinnost Zhotovitele provést pro Objednatele řádně a </vt:lpstr>
      <vt:lpstr>    Objednatel se zavazuje řádně a včas provedené Dílo převzít v termínech dle Polož</vt:lpstr>
      <vt:lpstr>    Účelem této Smlouvy je realizace Veřejné zakázky a všech z toho vyplývajících po</vt:lpstr>
      <vt:lpstr>Doba PROVÁDĚNÍ díla</vt:lpstr>
      <vt:lpstr>    Zhotovitel se zavazuje provádět Dílo a jeho části v termínech uvedených v položk</vt:lpstr>
      <vt:lpstr>    Dřívější termín plnění částí Díla ze strany Zhotovitele je možný pouze po předch</vt:lpstr>
      <vt:lpstr>    Jakékoli prodlení s provedením Díla, které je způsobeno zaviněným prodlením Obje</vt:lpstr>
      <vt:lpstr>Cena díla</vt:lpstr>
      <vt:lpstr>    Cena za řádné a včasné provedení Díla je sjednána následovně:</vt:lpstr>
      <vt:lpstr>    Podrobnosti kalkulace ceny jsou uvedeny v Položkovém výkazu („Cena Díla“). </vt:lpstr>
      <vt:lpstr>    Cena Díla je určena na základě Nabídky, tj. jako součin Objednatelem zadaného ro</vt:lpstr>
      <vt:lpstr>    Cenu Díla lze změnit pouze v souladu s čl. 3.2, případně při naplnění podmínek d</vt:lpstr>
      <vt:lpstr>    Cena Díla, s výjimkou upravenou v čl. 3.2, jakož i jednotlivé jednotkové položko</vt:lpstr>
      <vt:lpstr>    Není-li v této Smlouvě výslovně sjednáno jinak, Zhotovitel není oprávněn požadov</vt:lpstr>
      <vt:lpstr>Platební a fakturační podmínky</vt:lpstr>
      <vt:lpstr>    Cena Díla anebo její část a případně i jakékoliv další platby plynoucí ze Smlouv</vt:lpstr>
      <vt:lpstr>    Právo na zaplacení Ceny Díla anebo její části Zhotoviteli vzniká řádným poskytnu</vt:lpstr>
      <vt:lpstr>    Fakturační adresou Faktur bude vždy: Státní pozemkový úřad, Husinecká 1024/11a, </vt:lpstr>
      <vt:lpstr>    Splatnost jednotlivých Faktur je třicet (30) kalendářních dnů ode dne prokazatel</vt:lpstr>
      <vt:lpstr>    Zhotovitel označí každou Fakturu textem „dílčí“ s označením dílčí části Hlavního</vt:lpstr>
      <vt:lpstr>    V případě, že Zhotovitel získá v průběhu trvání závazkového vztahu založeného to</vt:lpstr>
      <vt:lpstr>Další podmínky Plnění smlouvy</vt:lpstr>
      <vt:lpstr>    Objednatel se zavazuje předat Zhotoviteli do deseti (10) kalendářních dní ode dn</vt:lpstr>
      <vt:lpstr>    Zhotovitel je povinen poskytovat plnění dle této Smlouvy a Dílo musí mít vlastno</vt:lpstr>
      <vt:lpstr>    V případě rozporu mezi dokumenty uvedenými v čl. 5.2 mají, nestanoví-li Smlouva </vt:lpstr>
      <vt:lpstr>    Zhotovitel je povinen provést Dílo na svůj náklad a nebezpečí, se znalostí a péč</vt:lpstr>
      <vt:lpstr>    Zhotovitel je povinen zabezpečit, aby se na provádění Díla přímo podílely osoby,</vt:lpstr>
      <vt:lpstr>    Zhotovitel se zavazuje při provádění Díla postup prací průběžně konzultovat s Ob</vt:lpstr>
      <vt:lpstr>    Objednatel je oprávněn průběžně kontrolovat provádění Díla. K průběžným kontrolá</vt:lpstr>
      <vt:lpstr>    Zhotovitel je povinen se účastnit kontrolních dnů dle § 9 odst. 24 Zákona a na v</vt:lpstr>
      <vt:lpstr>    Zhotovitel je povinen po celou dobu provádění Díla provádět aktualizaci dat na z</vt:lpstr>
      <vt:lpstr>    Objednatel si vyhrazuje právo písemnou výzvou doručenou Zhotoviteli přerušit prá</vt:lpstr>
      <vt:lpstr>    Zhotovitel je podle § 2 písm. e) zákona č. 320/2001 Sb., o finanční kontrole ve </vt:lpstr>
      <vt:lpstr>    Zhotovitel až do okamžiku úplného provedení Díla v souladu s touto Smlouvou nese</vt:lpstr>
      <vt:lpstr>    Zjistí-li Objednatel, že Zhotovitel provádí Dílo v rozporu se svými povinnostmi </vt:lpstr>
      <vt:lpstr>    V případě, že Dílo bude ověřovat více fyzických osob, které jsou držiteli úřední</vt:lpstr>
      <vt:lpstr>    Zhotovitel prohlašuje, že je a po celou dobu trvání Smlouvy bude držitelem veške</vt:lpstr>
      <vt:lpstr>    Zhotovitel tímto prohlašuje, že v době uzavření této Smlouvy není v likvidaci a </vt:lpstr>
      <vt:lpstr>    Zhotovitel se zavazuje po celou dobu provádění Díla zabezpečit: </vt:lpstr>
      <vt:lpstr>    Objednatel je oprávněn plnění povinností uvedených v čl. 5.19 kdykoliv kontrolov</vt:lpstr>
      <vt:lpstr>    Zhotovitel se zavazuje, že ukončené dílčí části Hlavních celků, které budou Obje</vt:lpstr>
      <vt:lpstr>    Splnění povinnosti dle tohoto článku bude doloženo dokladem (fakturou, účtenkou </vt:lpstr>
      <vt:lpstr>    Není-li touto Smlouvou stanoveno jinak, nebo nebude-li Smluvními stranami písemn</vt:lpstr>
      <vt:lpstr>Rozsah díla a jeho členění na hlavní celky a dílčí části Hlavních celků</vt:lpstr>
      <vt:lpstr>    Provádění Díla je rozděleno do tří (3) „Hlavních celků“ a to: (i) Hlavního celku</vt:lpstr>
      <vt:lpstr>    Hlavní celek 1 „Přípravné práce“ je sestaven z následujících dílčích částí:</vt:lpstr>
      <vt:lpstr>        Revize a doplnění stávajícího bodového pole:</vt:lpstr>
      <vt:lpstr>        Podrobné měření polohopisu v obvodu KoPÚ mimo trvalé porosty a v trvalých porost</vt:lpstr>
      <vt:lpstr>        Vektorizace vlastnické mapy – NENÍ PŘEDMĚTEM TÉTO SMLOUVY </vt:lpstr>
      <vt:lpstr>        Vektorizace vlastnické mapy v potřebném rozsahu (neprovádí se v k. ú., kde exist</vt:lpstr>
      <vt:lpstr>        Zjišťování hranic obvodu KoPÚ:</vt:lpstr>
      <vt:lpstr>        Zjišťování hranic pozemků neřešených dle § 2 Zákona:</vt:lpstr>
      <vt:lpstr>        Šetření průběhu vlastnických hranic řešených pozemků s porosty pro účely návrhu </vt:lpstr>
      <vt:lpstr>        Rozbor současného stavu:</vt:lpstr>
      <vt:lpstr>        Dokumentace k soupisu nároků vlastníků pozemků:</vt:lpstr>
      <vt:lpstr>    Hlavní celek 2 „Návrhové práce“ je sestaven z následujících dílčích částí:</vt:lpstr>
      <vt:lpstr>        Vypracování plánu společných zařízení („PSZ“):</vt:lpstr>
      <vt:lpstr>        Vypracování návrhu nového uspořádání pozemků k jeho vystavení dle § 11 odst. 1 Z</vt:lpstr>
      <vt:lpstr>        Dokončení a předložení aktuální dokumentace nového uspořádání pozemků a PSZ:</vt:lpstr>
      <vt:lpstr>        Zhotovení podkladů pro změnu katastrální hranice:</vt:lpstr>
      <vt:lpstr>        Aktualizace návrhu po ukončení odvolacího řízení:</vt:lpstr>
      <vt:lpstr>        Zhotovitel předloží Objednateli vždy nejpozději sedm (7) kalendářních dnů před z</vt:lpstr>
      <vt:lpstr>    Hlavní celek 3 „Mapové dílo“:</vt:lpstr>
      <vt:lpstr>        Nastanou-li v mezidobí mezi vydáním rozhodnutí o schválení návrhu KoPÚ a vydáním</vt:lpstr>
      <vt:lpstr>        Vyhotovení podkladů potřebných pro zavedení výsledků pozemkových úprav do katast</vt:lpstr>
      <vt:lpstr>        Topologická úprava platných linií BPEJ na DKM bude odsouhlasena příslušným odbor</vt:lpstr>
      <vt:lpstr>        Zhotovitel se zavazuje v souladu s § 57 odst. 2 Katastrální vyhlášky předat výsl</vt:lpstr>
      <vt:lpstr>        Listinná podoba dokumentace k obnově katastrálního operátu bude vyhotovena do pa</vt:lpstr>
      <vt:lpstr>        Za splnění termínu dokončení Hlavního celku 3 je považováno předání veškerých po</vt:lpstr>
      <vt:lpstr>Technické požadavky na provedení díla</vt:lpstr>
      <vt:lpstr>    Jednotlivé dílčí části Hlavních celků a Hlavní celek 3 budou předány v klasické </vt:lpstr>
      <vt:lpstr>    Ukončené dílčí části Hlavních celků a Hlavní celek 3 Zhotovitel předá Objednatel</vt:lpstr>
      <vt:lpstr>    Katastrální úřad bude stanovovat měřítka grafických příloh, které budou sloužit </vt:lpstr>
      <vt:lpstr>    Grafické a textové přílohy, dodávané Zhotovitelem, které bude Objednatel následn</vt:lpstr>
      <vt:lpstr>Pojištění</vt:lpstr>
      <vt:lpstr>    Zhotovitel prohlašuje, že ke dni podpisu této Smlouvy má uzavřenou pojistnou sm</vt:lpstr>
      <vt:lpstr>    Jestliže Zhotovitel nebude udržovat v platnosti pojištění vyžadované touto Smlou</vt:lpstr>
      <vt:lpstr>    Na žádost Objednatele je Zhotovitel povinen kdykoliv, nejvýše jednou za dvanáct </vt:lpstr>
      <vt:lpstr>Poddodavatelé</vt:lpstr>
      <vt:lpstr>    Zhotovitel je oprávněn využít při zhotovení Díla třetí osoby, tzv. poddodavatele</vt:lpstr>
      <vt:lpstr>    Omezení Poddodavatelů dle čl. 9.1 se netýká činností, které pro Zhotovitele zaji</vt:lpstr>
      <vt:lpstr>    Zhotovitel je povinen ve všech smlouvách uzavřených s Poddodavatelem zajistit zá</vt:lpstr>
      <vt:lpstr>    Plnění prostřednictvím Poddodavatele nad rámec uvedený v Nabídce musí být předem</vt:lpstr>
      <vt:lpstr>    Ke změně Poddodavatele, jejichž prostřednictvím Zhotovitel prokazoval jakoukoliv</vt:lpstr>
      <vt:lpstr>    Všechny osoby, které Zhotovitel při plnění Smlouvy použije, musí splňovat vešker</vt:lpstr>
      <vt:lpstr>Předání a převzetí Díla, Akceptační řízení</vt:lpstr>
      <vt:lpstr>    Provedení Díla, resp. jednotlivých částí Díla, probíhá na základě akceptačního ř</vt:lpstr>
      <vt:lpstr>    Zhotovitel se zavazuje předat Objednateli Dílo, resp. jeho část, k akceptačnímu </vt:lpstr>
      <vt:lpstr>    Objednatel je povinen do třiceti (30) dnů po předání Díla, resp. jeho části, ode</vt:lpstr>
      <vt:lpstr>    V případě nepřevzetí Díla, resp. jeho části, vyznačením „nepřevzato“ v Akceptač</vt:lpstr>
      <vt:lpstr>    V případě, že bude Objednatelem zjištěno, že Dílo, resp. jeho část, předané k d</vt:lpstr>
      <vt:lpstr>    Akceptační řízení končí a Dílo, resp. jeho část, se považuje za provedené a přev</vt:lpstr>
      <vt:lpstr>    Celé Dílo se považuje za provedené a převzaté jako celek odesláním Akceptačního </vt:lpstr>
      <vt:lpstr>    Zvláštní pravidla pro provedení dílčích částí</vt:lpstr>
    </vt:vector>
  </TitlesOfParts>
  <Company/>
  <LinksUpToDate>false</LinksUpToDate>
  <CharactersWithSpaces>106601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2021-07-08T13:28:00Z</dcterms:created>
  <dcterms:modified xsi:type="dcterms:W3CDTF">2021-07-08T13:28:00Z</dcterms:modified>
</cp:coreProperties>
</file>